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97</w:t>
      </w:r>
    </w:p>
    <w:p>
      <w:r>
        <w:t>Bundesgericht (BGE), 1992-01-22, DE</w:t>
      </w:r>
    </w:p>
    <w:p>
      <w:r>
        <w:rPr>
          <w:b/>
        </w:rPr>
        <w:t xml:space="preserve">Quelle: </w:t>
      </w:r>
      <w:r>
        <w:t>https://mcp.opencaselaw.ch/entscheid/bge_120 II 97</w:t>
      </w:r>
    </w:p>
    <w:p>
      <w:r>
        <w:t>FR: ATF 120 II 97</w:t>
      </w:r>
    </w:p>
    <w:p>
      <w:r>
        <w:t>IT: DTF 120 II 97</w:t>
      </w:r>
    </w:p>
    <w:p>
      <w:pPr>
        <w:pStyle w:val="Heading2"/>
      </w:pPr>
      <w:r>
        <w:t>Regeste</w:t>
      </w:r>
    </w:p>
    <w:p>
      <w:r>
        <w:t>Regeste Verletzung der Persönlichkeit durch Äusserungen der Presse, Genugtuung (Art. 49 Abs. 1 OR). Voraussetzungen für die Zusprechung einer Genugtuung (E. 2a, 2c, 2d). Der Ansprecher hat die Umstände darzutun, aus welchen von der objektiv schweren Verletzung auf seinen seelischen Schmerz geschlossen werden kann (E. 2b).</w:t>
      </w:r>
    </w:p>
    <w:p>
      <w:pPr>
        <w:pStyle w:val="Heading2"/>
      </w:pPr>
      <w:r>
        <w:t>Erwägungen</w:t>
      </w:r>
    </w:p>
    <w:p>
      <w:r>
        <w:rPr>
          <w:b/>
        </w:rPr>
        <w:t>E. 2</w:t>
      </w:r>
    </w:p>
    <w:p>
      <w:r>
        <w:t>Gemäss Art. 49 Abs. 1 OR steht demjenigen, der in seiner Persönlichkeit widerrechtlich verletzt wird, eine Geldsumme als Genugtuung zu, sofern die Schwere der Verletzung es rechtfertigt und diese nicht anders wiedergutgemacht worden ist. Das Obergericht hat zwar die Widerrechtlichkeit der vom Kläger durch die Presseberichte erlittenen Persönlichkeitsverletzung festgestellt, die weitern Voraussetzungen für die Zusprechung einer Genugtuung jedoch als nicht gegeben erachtet. Es führt in seinem Urteil insbesondere aus, der Kläger habe nicht einmal versucht, die von ihm erlittene Unbill zu beweisen. a) Was dem Kläger gemäss den tatsächlichen Feststellungen der Vorinstanz widerfahren ist, muss als objektiv schwere Verletzung bewertet werden. Er wurde in einem Massenblatt zweimal als Verkäufer von 19 F5-Jets an den Iran dargestellt, was ein völlig falsches Licht auf seine Rolle in diesem Flugzeugverkauf warf. Die strittigen Presseberichte beschlagen den Handel mit Kriegsmaterial, einen durch die Diskussion in der Öffentlichkeit mittlerweile sehr sensibilisierten Themenbereich. Zudem wurde der Kläger im Zusammenhang mit einer Persönlichkeit erwähnt, die im fraglichen Zeitraum aufgrund ihrer Geschäftstätigkeit wiederholt ins Schussfeld der Medien geraten war. b) Die objektiv schwere Verletzung muss vom Ansprecher zudem als seelischer Schmerz empfunden werden, ansonsten ihm keine Genugtuung zusteht (BREHM, Art. 49 OR N. 30). Es reagiert nicht jeder Mensch in gleicher Weise auf eine BGE 120 II 97 S. 99 Verletzung seiner psychischen Befindlichkeit; der Richter muss daher bei deren Beurteilung auf einen Durchschnittsmassstab abstellen (BREHM, Art. 49 OR N. 21, N. 22). Damit der Richter sich überhaupt ein Bild von der Entstehung und Wirkung der Verletzung machen kann, hat der Kläger ihm die Umstände darzutun, die auf sein subjektiv schweres Empfinden schliessen lassen; dass der Gefühlsbereich dem Beweis mitunter schwer zugänglich ist, entbindet ihn jedoch nicht davon, diesen anzutreten ( Art. 8 ZGB ; BREHM, Art. 49 OR N. 7). Gemäss den Feststellungen im angefochtenen Urteil hat der Kläger im kantonalen Verfahren keinerlei Beweise für die von ihm erlittene Unbill erbracht oder solche wenigstens angeboten. Offenbar ist er der Ansicht, dass innere Tatsachen nicht Gegenstand des Beweises bilden (vergleiche dazu: BGE 118 II 142 E. 3a S. 147; KUMMER, Art. 8 ZGB N. 92; KRAMER, Art. 18 OR N. 75). Er hat gegen das von der Vorinstanz festgehaltene Beweisergebnis keine staatsrechtliche Beschwerde wegen Verletzung von Art. 4 BV eingereicht; in seiner Berufung scheint er allerdings die Beweiswürdigung des Obergerichts in Frage zu stellen, was nicht zulässig ist ( Art. 55 Abs. 1 lit. c OG ). Der Kläger begründet seinen Anspruch auf eine Genugtuung mit der Aussage, die widerrechtliche Persönlichkeitsverletzung als solche sei geeignet, ihn psychisch erheblich zu beeinträchtigen. Das Bundesgericht könnte diesen Darlegungen nur folgen, wenn sie sich auf die allgemeine Lebenserfahrung abstützen liessen und somit nicht Gegenstand der Beweisführung darstellten. Erfahrungssätze erfüllen die Funktion von Normen, sie werden im Berufungsverfahren den Rechtssätzen gleichgestellt und frei überprüft. Diese Regelfunktion kommt einem Erfahrungssatz indessen bloss dann zu, wenn das in ihm enthaltene hypothetische Urteil, welches aus den in andern Fällen gemachten Erfahrungen gewonnen wird, in gleichgelagerten Fällen allgemeine Geltung für die Zukunft beansprucht, wenn er einen solchen Abstraktionsgrad erreicht, dass er normativen Charakter trägt ( BGE 117 II 256 E. 2b S. 258). Dies ist indessen vorliegend nicht der Fall. c) Nicht gefolgt werden kann der Vorinstanz, soweit sie das Verschulden der Beklagten als Anspruchsvoraussetzung für eine Genugtuung nach Art. 49 OR betrachtet (vergleiche dazu: BBl 1982 II 681; BGE 117 II 50 E. 3a S. 56; BREHM, Art. 49 OR N. 6). d) Offen bleiben kann damit, inwieweit durch die angeordnete Urteilspublikation die widerrechtliche Verletzung der Persönlichkeit wiedergutgemacht wird und damit kein Raum mehr für die Zusprechung einer Genugtuung bliebe.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